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0"/>
        <w:rPr>
          <w:rFonts w:ascii="Times New Roman" w:hAnsi="Times New Roman" w:eastAsia="Times New Roman"/>
          <w:vanish/>
          <w:sz w:val="24"/>
          <w:szCs w:val="24"/>
          <w:lang w:eastAsia="fr-FR"/>
        </w:rPr>
      </w:pPr>
      <w:r>
        <w:rPr>
          <w:rFonts w:eastAsia="Times New Roman" w:ascii="Times New Roman" w:hAnsi="Times New Roman"/>
          <w:vanish/>
          <w:sz w:val="24"/>
          <w:szCs w:val="24"/>
          <w:lang w:eastAsia="fr-FR"/>
        </w:rPr>
      </w:r>
      <w:r>
        <w:br w:type="page"/>
      </w:r>
    </w:p>
    <w:p>
      <w:pPr>
        <w:pStyle w:val="Corpsdetext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ETATS DECLARATIFS PROCEDURE AUTOMATISEE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tbl>
      <w:tblPr>
        <w:tblW w:w="9300" w:type="dxa"/>
        <w:jc w:val="left"/>
        <w:tblInd w:w="6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8"/>
        <w:gridCol w:w="1980"/>
        <w:gridCol w:w="1700"/>
        <w:gridCol w:w="1294"/>
        <w:gridCol w:w="1148"/>
      </w:tblGrid>
      <w:tr>
        <w:trPr>
          <w:trHeight w:val="900" w:hRule="atLeast"/>
        </w:trPr>
        <w:tc>
          <w:tcPr>
            <w:tcW w:w="317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ETAT DECLARATIF n°1</w:t>
            </w:r>
          </w:p>
        </w:tc>
        <w:tc>
          <w:tcPr>
            <w:tcW w:w="1980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700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442" w:type="dxa"/>
            <w:gridSpan w:val="2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765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Etat 1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libellé du budget:</w:t>
              <w:br/>
              <w:t>BP ou BA (rayer la mention inutile)</w:t>
            </w:r>
          </w:p>
        </w:tc>
      </w:tr>
      <w:tr>
        <w:trPr>
          <w:trHeight w:val="3443" w:hRule="atLeast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libellé de la dépense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numéro de mandat</w:t>
            </w:r>
          </w:p>
        </w:tc>
        <w:tc>
          <w:tcPr>
            <w:tcW w:w="29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Style w:val="Policepardfaut"/>
                <w:rFonts w:ascii="Times New Roman" w:hAnsi="Times New Roman"/>
                <w:color w:val="000000"/>
              </w:rPr>
              <w:t>numéro de compte</w:t>
              <w:br/>
            </w:r>
            <w:r>
              <w:rPr>
                <w:rStyle w:val="Policepardfaut"/>
                <w:rFonts w:ascii="Times New Roman" w:hAnsi="Times New Roman"/>
                <w:i/>
                <w:iCs/>
                <w:color w:val="000000"/>
              </w:rPr>
              <w:t>(comptes de l'assiette automatisée, à prendre dans la liste des comptes de l’arrêté, en fonction de la nomenclature applicable au bénéficiaire)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montant</w:t>
            </w:r>
          </w:p>
        </w:tc>
      </w:tr>
      <w:tr>
        <w:trPr>
          <w:trHeight w:val="720" w:hRule="atLeast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DES DEPENSES DECLAREES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>
      <w:pPr>
        <w:pStyle w:val="Normal1"/>
        <w:tabs>
          <w:tab w:val="clear" w:pos="708"/>
          <w:tab w:val="left" w:pos="2410" w:leader="none"/>
          <w:tab w:val="left" w:pos="4536" w:leader="none"/>
          <w:tab w:val="left" w:pos="5529" w:leader="none"/>
        </w:tabs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Fait à, </w:t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le,</w:t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Par </w:t>
      </w:r>
    </w:p>
    <w:p>
      <w:pPr>
        <w:pStyle w:val="Normal1"/>
        <w:rPr>
          <w:rStyle w:val="Policepardfaut"/>
          <w:rFonts w:ascii="Times New Roman" w:hAnsi="Times New Roman"/>
          <w:color w:val="000000"/>
          <w:lang w:eastAsia="fr-FR"/>
        </w:rPr>
      </w:pPr>
      <w:r>
        <w:rPr/>
        <mc:AlternateContent>
          <mc:Choice Requires="wps">
            <w:drawing>
              <wp:anchor behindDoc="0" distT="6350" distB="6350" distL="6350" distR="635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2087880" cy="90487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80" cy="90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Fonts w:ascii="Calibri" w:hAnsi="Calibri" w:eastAsia="Calibri" w:cs="Calibri"/>
                                <w:color w:val="000000"/>
                                <w:lang w:eastAsia="en-US"/>
                              </w:rPr>
                              <w:t>Cachet du bénéficiaire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kern w:val="0"/>
                                <w:rFonts w:ascii="Calibri" w:hAnsi="Calibri" w:eastAsia="Calibri" w:cs="Calibri"/>
                                <w:color w:val="auto"/>
                                <w:lang w:eastAsia="en-US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Box 2" coordsize="21600,21600" path="m0,0l21600,0l21600,21600l0,21600xe" fillcolor="white" stroked="f" style="position:absolute;margin-left:-0.75pt;margin-top:11.9pt;width:164.3pt;height:71.15pt;mso-wrap-style:square;v-text-anchor:top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rFonts w:ascii="Calibri" w:hAnsi="Calibri" w:eastAsia="Calibri" w:cs="Calibri"/>
                          <w:color w:val="000000"/>
                          <w:lang w:eastAsia="en-US"/>
                        </w:rPr>
                        <w:t>Cachet du bénéficiaire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kern w:val="0"/>
                          <w:rFonts w:ascii="Calibri" w:hAnsi="Calibri" w:eastAsia="Calibri" w:cs="Calibri"/>
                          <w:color w:val="auto"/>
                          <w:lang w:eastAsia="en-US"/>
                        </w:rPr>
                      </w:r>
                    </w:p>
                  </w:txbxContent>
                </v:textbox>
                <v:fill o:detectmouseclick="t" type="solid" color2="black"/>
                <v:stroke color="#41719c" weight="12600" joinstyle="miter" endcap="flat"/>
                <w10:wrap type="none"/>
              </v:shape>
            </w:pict>
          </mc:Fallback>
        </mc:AlternateContent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nextPage"/>
          <w:pgSz w:w="11906" w:h="16838"/>
          <w:pgMar w:left="1417" w:right="1417" w:header="0" w:top="708" w:footer="0" w:bottom="708" w:gutter="0"/>
          <w:pgNumType w:fmt="decimal"/>
          <w:formProt w:val="false"/>
          <w:textDirection w:val="lrTb"/>
          <w:docGrid w:type="default" w:linePitch="600" w:charSpace="36864"/>
        </w:sect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suppressAutoHyphens w:val="true"/>
        <w:spacing w:lineRule="auto" w:line="276" w:before="0" w:after="200"/>
        <w:ind w:left="-283" w:right="28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417" w:right="1414" w:header="0" w:top="708" w:footer="708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14517" w:type="dxa"/>
        <w:jc w:val="left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32"/>
        <w:gridCol w:w="1729"/>
        <w:gridCol w:w="1838"/>
        <w:gridCol w:w="1699"/>
        <w:gridCol w:w="1553"/>
        <w:gridCol w:w="2438"/>
        <w:gridCol w:w="2328"/>
      </w:tblGrid>
      <w:tr>
        <w:trPr>
          <w:trHeight w:val="300" w:hRule="atLeast"/>
        </w:trPr>
        <w:tc>
          <w:tcPr>
            <w:tcW w:w="2932" w:type="dxa"/>
            <w:tcBorders/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ETAT DECLARATIF n°2</w:t>
            </w:r>
          </w:p>
        </w:tc>
        <w:tc>
          <w:tcPr>
            <w:tcW w:w="1729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699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553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libellé du budget: BP ou BA (rayer la mention inutile)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302" w:hRule="atLeast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Etat 2-A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690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libellé de la dépense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numéro de mandat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numéro de compte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montant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720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dépenses réalisées en application de l'article L. 211-7 du code de l'éducation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dépenses d'investissement pour la lutte contre les risques naturels (L. 1615-2)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960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travaux d'investissement sur les biens du Conservatoire de l'espace littoral (L.1615-2)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780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subventions pour le Canal Seine-Nord Europe (L.1615-2)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750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dépenses d'investissement sur le domaine public fluvial de l'Etat (L. 1615-2)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645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dépenses intempéries exceptionnelles (L. 1615-6)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765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situation particulière d'assujettissement à la TVA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DES DEPENSES A AJOUTER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montant à verser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525" w:hRule="atLeast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changement de situation d'assujettissement à la TVA (L. 1615-4)</w:t>
            </w: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MONTANT A VERSER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1"/>
        <w:spacing w:lineRule="auto" w:line="256"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17" w:type="dxa"/>
        <w:jc w:val="left"/>
        <w:tblInd w:w="13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17"/>
        <w:gridCol w:w="2125"/>
        <w:gridCol w:w="1983"/>
        <w:gridCol w:w="1701"/>
        <w:gridCol w:w="1986"/>
        <w:gridCol w:w="2278"/>
        <w:gridCol w:w="2327"/>
      </w:tblGrid>
      <w:tr>
        <w:trPr>
          <w:trHeight w:val="300" w:hRule="atLeast"/>
        </w:trPr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Etat 2-B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7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525" w:hRule="atLeast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libellé de la dépense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numéro de mandat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numéro de compte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montant à déduire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7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dépenses HT (R. 1615-2)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7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525" w:hRule="atLeast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dispositif intempéries exceptionnelles (L. 1615-6)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7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dépenses pour les manuels scolaires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7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525" w:hRule="atLeast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dépenses ayant fait l'objet d'un transfert de droit à déduction (R. 1615-2)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7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DEPENSES A DEDUIRE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327" w:type="dxa"/>
            <w:tcBorders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spacing w:lineRule="auto" w:line="256"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417" w:right="1414" w:header="0" w:top="708" w:footer="708" w:bottom="1417" w:gutter="0"/>
          <w:formProt w:val="false"/>
          <w:textDirection w:val="lrTb"/>
          <w:docGrid w:type="default" w:linePitch="600" w:charSpace="36864"/>
        </w:sectPr>
      </w:pPr>
    </w:p>
    <w:p>
      <w:pPr>
        <w:pStyle w:val="Normal1"/>
        <w:spacing w:lineRule="auto" w:line="256"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17" w:type="dxa"/>
        <w:jc w:val="left"/>
        <w:tblInd w:w="13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78"/>
        <w:gridCol w:w="2686"/>
        <w:gridCol w:w="2118"/>
        <w:gridCol w:w="1838"/>
        <w:gridCol w:w="1827"/>
        <w:gridCol w:w="1143"/>
        <w:gridCol w:w="2327"/>
      </w:tblGrid>
      <w:tr>
        <w:trPr>
          <w:trHeight w:val="300" w:hRule="atLeast"/>
        </w:trPr>
        <w:tc>
          <w:tcPr>
            <w:tcW w:w="14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Etat 2-C</w:t>
            </w:r>
          </w:p>
        </w:tc>
      </w:tr>
      <w:tr>
        <w:trPr>
          <w:trHeight w:val="525" w:hRule="atLeast"/>
        </w:trPr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6" w:type="dxa"/>
            <w:tcBorders/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montant à reverser</w:t>
            </w:r>
          </w:p>
        </w:tc>
      </w:tr>
      <w:tr>
        <w:trPr>
          <w:trHeight w:val="525" w:hRule="atLeast"/>
        </w:trPr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changement de situation d'assujettissement (L. 1615-3)</w:t>
            </w:r>
          </w:p>
        </w:tc>
        <w:tc>
          <w:tcPr>
            <w:tcW w:w="2686" w:type="dxa"/>
            <w:tcBorders>
              <w:top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fill="5A5A5A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val="1305" w:hRule="atLeast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 de l'acquisition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valeur d'achat ou coût de la réalisation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 de cession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acquéreur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montant de FCTVA perçu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montant à reverser (calcul effectué par les services préfectoraux)</w:t>
            </w:r>
          </w:p>
        </w:tc>
      </w:tr>
      <w:tr>
        <w:trPr>
          <w:trHeight w:val="300" w:hRule="atLeast"/>
        </w:trPr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cession d'un bien immobilier (R. 1615-5)</w:t>
            </w:r>
          </w:p>
        </w:tc>
        <w:tc>
          <w:tcPr>
            <w:tcW w:w="2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cession d'un bien mobilier (R. 1615-5)</w:t>
            </w:r>
          </w:p>
        </w:tc>
        <w:tc>
          <w:tcPr>
            <w:tcW w:w="268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MONTANT A REVERSER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1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Fait à</w:t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le,</w:t>
      </w:r>
    </w:p>
    <w:p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Par </w:t>
      </w:r>
    </w:p>
    <w:p>
      <w:pPr>
        <w:pStyle w:val="Normal1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Cachet du bénéficiaire</w:t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Segoe U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eddepage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zh-CN" w:val="fr-FR" w:bidi="ar-SA"/>
    </w:rPr>
  </w:style>
  <w:style w:type="paragraph" w:styleId="Titre1">
    <w:name w:val="Heading 1"/>
    <w:basedOn w:val="Normal1"/>
    <w:next w:val="Normal1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Arial" w:hAnsi="Arial" w:eastAsia="Calibri Light" w:cs="Calibri Light"/>
      <w:b/>
      <w:color w:val="auto"/>
      <w:sz w:val="24"/>
      <w:szCs w:val="32"/>
      <w:u w:val="single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tabs>
        <w:tab w:val="clear" w:pos="708"/>
      </w:tabs>
      <w:suppressAutoHyphens w:val="true"/>
      <w:spacing w:before="40" w:after="0"/>
      <w:ind w:left="708" w:right="0" w:hanging="0"/>
      <w:outlineLvl w:val="1"/>
    </w:pPr>
    <w:rPr>
      <w:rFonts w:ascii="Arial" w:hAnsi="Arial" w:eastAsia="Calibri Light" w:cs="Calibri Light"/>
      <w:b/>
      <w:color w:val="auto"/>
      <w:sz w:val="24"/>
      <w:szCs w:val="26"/>
      <w:u w:val="single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40" w:after="0"/>
      <w:outlineLvl w:val="2"/>
    </w:pPr>
    <w:rPr>
      <w:rFonts w:ascii="Times New Roman" w:hAnsi="Times New Roman" w:eastAsia="Calibri Light" w:cs="Calibri Light"/>
      <w:color w:val="auto"/>
      <w:sz w:val="24"/>
      <w:szCs w:val="24"/>
      <w:u w:val="single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40" w:after="0"/>
      <w:outlineLvl w:val="3"/>
    </w:pPr>
    <w:rPr>
      <w:rFonts w:ascii="Calibri Light" w:hAnsi="Calibri Light" w:eastAsia="Calibri Light" w:cs="Calibri Light"/>
      <w:i/>
      <w:iCs/>
      <w:color w:val="2E74B5"/>
    </w:rPr>
  </w:style>
  <w:style w:type="character" w:styleId="Policepardfaut">
    <w:name w:val="Police par défaut"/>
    <w:qFormat/>
    <w:rPr/>
  </w:style>
  <w:style w:type="character" w:styleId="PieddepageCar">
    <w:name w:val="Pied de page Car"/>
    <w:basedOn w:val="Policepardfaut"/>
    <w:qFormat/>
    <w:rPr>
      <w:rFonts w:ascii="Calibri" w:hAnsi="Calibri" w:eastAsia="Calibri" w:cs="Times New Roman"/>
    </w:rPr>
  </w:style>
  <w:style w:type="character" w:styleId="LienInternet">
    <w:name w:val="Lien Internet"/>
    <w:basedOn w:val="Policepardfaut"/>
    <w:rPr>
      <w:color w:val="0563C1"/>
      <w:u w:val="single"/>
    </w:rPr>
  </w:style>
  <w:style w:type="character" w:styleId="Marquedecommentaire">
    <w:name w:val="Marque de commentaire"/>
    <w:basedOn w:val="Policepardfaut"/>
    <w:qFormat/>
    <w:rPr>
      <w:sz w:val="16"/>
      <w:szCs w:val="16"/>
    </w:rPr>
  </w:style>
  <w:style w:type="character" w:styleId="CommentaireCar">
    <w:name w:val="Commentaire Car"/>
    <w:basedOn w:val="Policepardfaut"/>
    <w:qFormat/>
    <w:rPr>
      <w:rFonts w:ascii="Calibri" w:hAnsi="Calibri" w:eastAsia="Calibri" w:cs="Times New Roman"/>
      <w:sz w:val="20"/>
      <w:szCs w:val="20"/>
    </w:rPr>
  </w:style>
  <w:style w:type="character" w:styleId="CorpsdetexteCar">
    <w:name w:val="Corps de texte Car"/>
    <w:basedOn w:val="Policepardfaut"/>
    <w:qFormat/>
    <w:rPr>
      <w:rFonts w:cs="Times New Roman"/>
      <w:color w:val="00000A"/>
    </w:rPr>
  </w:style>
  <w:style w:type="character" w:styleId="CommentaireCar1">
    <w:name w:val="Commentaire Car1"/>
    <w:basedOn w:val="Policepardfaut"/>
    <w:qFormat/>
    <w:rPr>
      <w:rFonts w:cs="Times New Roman"/>
      <w:color w:val="00000A"/>
      <w:sz w:val="20"/>
      <w:szCs w:val="20"/>
    </w:rPr>
  </w:style>
  <w:style w:type="character" w:styleId="NotedebasdepageCar">
    <w:name w:val="Note de bas de page Car"/>
    <w:basedOn w:val="Policepardfaut"/>
    <w:qFormat/>
    <w:rPr>
      <w:rFonts w:cs="Times New Roman"/>
      <w:color w:val="00000A"/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Policepardfaut"/>
    <w:qFormat/>
    <w:rPr>
      <w:vertAlign w:val="superscript"/>
    </w:rPr>
  </w:style>
  <w:style w:type="character" w:styleId="SansinterligneCar">
    <w:name w:val="Sans interligne Car"/>
    <w:basedOn w:val="Policepardfaut"/>
    <w:qFormat/>
    <w:rPr>
      <w:rFonts w:cs="Times New Roman"/>
      <w:color w:val="00000A"/>
    </w:rPr>
  </w:style>
  <w:style w:type="character" w:styleId="Style1Car">
    <w:name w:val="Style1 Car"/>
    <w:basedOn w:val="SansinterligneCar"/>
    <w:qFormat/>
    <w:rPr>
      <w:rFonts w:ascii="Times New Roman" w:hAnsi="Times New Roman" w:cs="Times New Roman"/>
      <w:color w:val="00000A"/>
      <w:sz w:val="24"/>
      <w:szCs w:val="24"/>
    </w:rPr>
  </w:style>
  <w:style w:type="character" w:styleId="TextedebullesCar">
    <w:name w:val="Texte de bulles Car"/>
    <w:basedOn w:val="Policepardfaut"/>
    <w:qFormat/>
    <w:rPr>
      <w:rFonts w:ascii="Segoe UI" w:hAnsi="Segoe UI" w:cs="Segoe UI"/>
      <w:color w:val="00000A"/>
      <w:sz w:val="18"/>
      <w:szCs w:val="18"/>
    </w:rPr>
  </w:style>
  <w:style w:type="character" w:styleId="Titre1Car">
    <w:name w:val="Titre 1 Car"/>
    <w:basedOn w:val="Policepardfaut"/>
    <w:qFormat/>
    <w:rPr>
      <w:rFonts w:ascii="Arial" w:hAnsi="Arial" w:eastAsia="Calibri Light" w:cs="Calibri Light"/>
      <w:b/>
      <w:sz w:val="24"/>
      <w:szCs w:val="32"/>
      <w:u w:val="single"/>
    </w:rPr>
  </w:style>
  <w:style w:type="character" w:styleId="Titre2Car">
    <w:name w:val="Titre 2 Car"/>
    <w:basedOn w:val="Policepardfaut"/>
    <w:qFormat/>
    <w:rPr>
      <w:rFonts w:ascii="Arial" w:hAnsi="Arial" w:eastAsia="Calibri Light" w:cs="Calibri Light"/>
      <w:b/>
      <w:sz w:val="24"/>
      <w:szCs w:val="26"/>
      <w:u w:val="single"/>
    </w:rPr>
  </w:style>
  <w:style w:type="character" w:styleId="Titre3Car">
    <w:name w:val="Titre 3 Car"/>
    <w:basedOn w:val="Policepardfaut"/>
    <w:qFormat/>
    <w:rPr>
      <w:rFonts w:ascii="Times New Roman" w:hAnsi="Times New Roman" w:eastAsia="Calibri Light" w:cs="Calibri Light"/>
      <w:sz w:val="24"/>
      <w:szCs w:val="24"/>
      <w:u w:val="single"/>
    </w:rPr>
  </w:style>
  <w:style w:type="character" w:styleId="ObjetducommentaireCar">
    <w:name w:val="Objet du commentaire Car"/>
    <w:basedOn w:val="CommentaireCar"/>
    <w:qFormat/>
    <w:rPr>
      <w:rFonts w:ascii="Calibri" w:hAnsi="Calibri" w:eastAsia="Calibri" w:cs="Times New Roman"/>
      <w:b/>
      <w:bCs/>
      <w:color w:val="00000A"/>
      <w:sz w:val="20"/>
      <w:szCs w:val="20"/>
    </w:rPr>
  </w:style>
  <w:style w:type="character" w:styleId="PieddepageCar1">
    <w:name w:val="Pied de page Car1"/>
    <w:basedOn w:val="Policepardfaut"/>
    <w:qFormat/>
    <w:rPr>
      <w:rFonts w:cs="Times New Roman"/>
      <w:color w:val="00000A"/>
    </w:rPr>
  </w:style>
  <w:style w:type="character" w:styleId="Rfrenceintense">
    <w:name w:val="Référence intense"/>
    <w:qFormat/>
    <w:rPr>
      <w:b/>
      <w:bCs/>
      <w:smallCaps/>
      <w:color w:val="466964"/>
      <w:spacing w:val="5"/>
    </w:rPr>
  </w:style>
  <w:style w:type="character" w:styleId="Date1Car">
    <w:name w:val="Date 1 Car"/>
    <w:qFormat/>
    <w:rPr>
      <w:rFonts w:ascii="Arial" w:hAnsi="Arial" w:eastAsia="Arial" w:cs="Times New Roman"/>
      <w:sz w:val="20"/>
      <w:szCs w:val="20"/>
    </w:rPr>
  </w:style>
  <w:style w:type="character" w:styleId="EntteCar">
    <w:name w:val="En-tête Car"/>
    <w:basedOn w:val="Policepardfaut"/>
    <w:qFormat/>
    <w:rPr>
      <w:rFonts w:cs="Times New Roman"/>
      <w:color w:val="00000A"/>
    </w:rPr>
  </w:style>
  <w:style w:type="character" w:styleId="Soustitre2Car">
    <w:name w:val="Sous-titre 2 Car"/>
    <w:qFormat/>
    <w:rPr>
      <w:rFonts w:ascii="Arial" w:hAnsi="Arial" w:eastAsia="Arial" w:cs="Times New Roman"/>
      <w:sz w:val="16"/>
      <w:szCs w:val="16"/>
    </w:rPr>
  </w:style>
  <w:style w:type="character" w:styleId="Date2Car">
    <w:name w:val="Date 2 Car"/>
    <w:qFormat/>
    <w:rPr>
      <w:rFonts w:ascii="Arial" w:hAnsi="Arial" w:eastAsia="Arial" w:cs="Times New Roman"/>
      <w:color w:val="231F20"/>
      <w:sz w:val="16"/>
      <w:szCs w:val="20"/>
    </w:rPr>
  </w:style>
  <w:style w:type="character" w:styleId="Numrodepage">
    <w:name w:val="Numéro de page"/>
    <w:basedOn w:val="Policepardfaut"/>
    <w:rPr/>
  </w:style>
  <w:style w:type="character" w:styleId="Caractresdenotedebasdepage">
    <w:name w:val="Caractères de note de bas de page"/>
    <w:qFormat/>
    <w:rPr/>
  </w:style>
  <w:style w:type="character" w:styleId="Sautdindex">
    <w:name w:val="Saut d'index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enhypertexte">
    <w:name w:val="Lien hypertexte"/>
    <w:basedOn w:val="Policepardfaut"/>
    <w:qFormat/>
    <w:rPr>
      <w:color w:val="0563C1"/>
      <w:u w:val="single"/>
    </w:rPr>
  </w:style>
  <w:style w:type="character" w:styleId="Titre4Car">
    <w:name w:val="Titre 4 Car"/>
    <w:basedOn w:val="Policepardfaut"/>
    <w:qFormat/>
    <w:rPr>
      <w:rFonts w:ascii="Calibri Light" w:hAnsi="Calibri Light" w:eastAsia="Calibri Light" w:cs="Calibri Light"/>
      <w:i/>
      <w:iCs/>
      <w:color w:val="2E74B5"/>
    </w:rPr>
  </w:style>
  <w:style w:type="character" w:styleId="SNCatgorieCar">
    <w:name w:val="SNCatégorie Car"/>
    <w:qFormat/>
    <w:rPr>
      <w:sz w:val="24"/>
      <w:szCs w:val="24"/>
      <w:lang w:val="fr-FR" w:bidi="ar-SA"/>
    </w:rPr>
  </w:style>
  <w:style w:type="character" w:styleId="WWCharLFO1LVL1">
    <w:name w:val="WW_CharLFO1LVL1"/>
    <w:qFormat/>
    <w:rPr>
      <w:rFonts w:ascii="Times New Roman" w:hAnsi="Times New Roman" w:cs="Times New Roman"/>
      <w:sz w:val="24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2LVL1">
    <w:name w:val="WW_CharLFO2LVL1"/>
    <w:qFormat/>
    <w:rPr>
      <w:rFonts w:ascii="Times New Roman" w:hAnsi="Times New Roman" w:cs="Times New Roman"/>
      <w:sz w:val="24"/>
    </w:rPr>
  </w:style>
  <w:style w:type="character" w:styleId="WWCharLFO2LVL2">
    <w:name w:val="WW_CharLFO2LVL2"/>
    <w:qFormat/>
    <w:rPr>
      <w:rFonts w:ascii="Symbol" w:hAnsi="Symbol" w:cs="Symbol"/>
    </w:rPr>
  </w:style>
  <w:style w:type="character" w:styleId="WWCharLFO3LVL1">
    <w:name w:val="WW_CharLFO3LVL1"/>
    <w:qFormat/>
    <w:rPr>
      <w:rFonts w:ascii="Times New Roman" w:hAnsi="Times New Roman" w:cs="Times New Roman"/>
      <w:sz w:val="22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Calibri" w:hAnsi="Calibri" w:cs="Calibri"/>
      <w:sz w:val="24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5LVL1">
    <w:name w:val="WW_CharLFO5LVL1"/>
    <w:qFormat/>
    <w:rPr>
      <w:rFonts w:ascii="Calibri" w:hAnsi="Calibri" w:cs="Calibri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</w:rPr>
  </w:style>
  <w:style w:type="character" w:styleId="WWCharLFO9LVL1">
    <w:name w:val="WW_CharLFO9LVL1"/>
    <w:qFormat/>
    <w:rPr>
      <w:rFonts w:ascii="Arial" w:hAnsi="Arial" w:cs="Aria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 w:cs="Wingdings"/>
    </w:rPr>
  </w:style>
  <w:style w:type="character" w:styleId="WWCharLFO9LVL4">
    <w:name w:val="WW_CharLFO9LVL4"/>
    <w:qFormat/>
    <w:rPr>
      <w:rFonts w:ascii="Symbol" w:hAnsi="Symbol" w:cs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 w:cs="Wingdings"/>
    </w:rPr>
  </w:style>
  <w:style w:type="character" w:styleId="WWCharLFO9LVL7">
    <w:name w:val="WW_CharLFO9LVL7"/>
    <w:qFormat/>
    <w:rPr>
      <w:rFonts w:ascii="Symbol" w:hAnsi="Symbol" w:cs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 w:cs="Wingdings"/>
    </w:rPr>
  </w:style>
  <w:style w:type="character" w:styleId="WWCharLFO11LVL1">
    <w:name w:val="WW_CharLFO11LVL1"/>
    <w:qFormat/>
    <w:rPr>
      <w:rFonts w:ascii="Arial" w:hAnsi="Arial" w:cs="Arial"/>
      <w:b/>
    </w:rPr>
  </w:style>
  <w:style w:type="character" w:styleId="WWCharLFO13LVL1">
    <w:name w:val="WW_CharLFO13LVL1"/>
    <w:qFormat/>
    <w:rPr>
      <w:rFonts w:ascii="Symbol" w:hAnsi="Symbol" w:cs="Symbol"/>
      <w:sz w:val="20"/>
    </w:rPr>
  </w:style>
  <w:style w:type="character" w:styleId="WWCharLFO13LVL2">
    <w:name w:val="WW_CharLFO13LVL2"/>
    <w:qFormat/>
    <w:rPr>
      <w:rFonts w:ascii="Courier New" w:hAnsi="Courier New" w:cs="Courier New"/>
      <w:sz w:val="20"/>
    </w:rPr>
  </w:style>
  <w:style w:type="character" w:styleId="WWCharLFO13LVL3">
    <w:name w:val="WW_CharLFO13LVL3"/>
    <w:qFormat/>
    <w:rPr>
      <w:rFonts w:ascii="Wingdings" w:hAnsi="Wingdings" w:cs="Wingdings"/>
      <w:sz w:val="20"/>
    </w:rPr>
  </w:style>
  <w:style w:type="character" w:styleId="WWCharLFO13LVL4">
    <w:name w:val="WW_CharLFO13LVL4"/>
    <w:qFormat/>
    <w:rPr>
      <w:rFonts w:ascii="Wingdings" w:hAnsi="Wingdings" w:cs="Wingdings"/>
      <w:sz w:val="20"/>
    </w:rPr>
  </w:style>
  <w:style w:type="character" w:styleId="WWCharLFO13LVL5">
    <w:name w:val="WW_CharLFO13LVL5"/>
    <w:qFormat/>
    <w:rPr>
      <w:rFonts w:ascii="Wingdings" w:hAnsi="Wingdings" w:cs="Wingdings"/>
      <w:sz w:val="20"/>
    </w:rPr>
  </w:style>
  <w:style w:type="character" w:styleId="WWCharLFO13LVL6">
    <w:name w:val="WW_CharLFO13LVL6"/>
    <w:qFormat/>
    <w:rPr>
      <w:rFonts w:ascii="Wingdings" w:hAnsi="Wingdings" w:cs="Wingdings"/>
      <w:sz w:val="20"/>
    </w:rPr>
  </w:style>
  <w:style w:type="character" w:styleId="WWCharLFO13LVL7">
    <w:name w:val="WW_CharLFO13LVL7"/>
    <w:qFormat/>
    <w:rPr>
      <w:rFonts w:ascii="Wingdings" w:hAnsi="Wingdings" w:cs="Wingdings"/>
      <w:sz w:val="20"/>
    </w:rPr>
  </w:style>
  <w:style w:type="character" w:styleId="WWCharLFO13LVL8">
    <w:name w:val="WW_CharLFO13LVL8"/>
    <w:qFormat/>
    <w:rPr>
      <w:rFonts w:ascii="Wingdings" w:hAnsi="Wingdings" w:cs="Wingdings"/>
      <w:sz w:val="20"/>
    </w:rPr>
  </w:style>
  <w:style w:type="character" w:styleId="WWCharLFO13LVL9">
    <w:name w:val="WW_CharLFO13LVL9"/>
    <w:qFormat/>
    <w:rPr>
      <w:rFonts w:ascii="Wingdings" w:hAnsi="Wingdings" w:cs="Wingdings"/>
      <w:sz w:val="20"/>
    </w:rPr>
  </w:style>
  <w:style w:type="character" w:styleId="WWCharLFO14LVL1">
    <w:name w:val="WW_CharLFO14LVL1"/>
    <w:qFormat/>
    <w:rPr>
      <w:rFonts w:ascii="Symbol" w:hAnsi="Symbol" w:cs="Symbol"/>
      <w:sz w:val="20"/>
    </w:rPr>
  </w:style>
  <w:style w:type="character" w:styleId="WWCharLFO14LVL2">
    <w:name w:val="WW_CharLFO14LVL2"/>
    <w:qFormat/>
    <w:rPr>
      <w:rFonts w:ascii="Courier New" w:hAnsi="Courier New" w:cs="Courier New"/>
      <w:sz w:val="20"/>
    </w:rPr>
  </w:style>
  <w:style w:type="character" w:styleId="WWCharLFO14LVL3">
    <w:name w:val="WW_CharLFO14LVL3"/>
    <w:qFormat/>
    <w:rPr>
      <w:rFonts w:ascii="Wingdings" w:hAnsi="Wingdings" w:cs="Wingdings"/>
      <w:sz w:val="20"/>
    </w:rPr>
  </w:style>
  <w:style w:type="character" w:styleId="WWCharLFO14LVL4">
    <w:name w:val="WW_CharLFO14LVL4"/>
    <w:qFormat/>
    <w:rPr>
      <w:rFonts w:ascii="Wingdings" w:hAnsi="Wingdings" w:cs="Wingdings"/>
      <w:sz w:val="20"/>
    </w:rPr>
  </w:style>
  <w:style w:type="character" w:styleId="WWCharLFO14LVL5">
    <w:name w:val="WW_CharLFO14LVL5"/>
    <w:qFormat/>
    <w:rPr>
      <w:rFonts w:ascii="Wingdings" w:hAnsi="Wingdings" w:cs="Wingdings"/>
      <w:sz w:val="20"/>
    </w:rPr>
  </w:style>
  <w:style w:type="character" w:styleId="WWCharLFO14LVL6">
    <w:name w:val="WW_CharLFO14LVL6"/>
    <w:qFormat/>
    <w:rPr>
      <w:rFonts w:ascii="Wingdings" w:hAnsi="Wingdings" w:cs="Wingdings"/>
      <w:sz w:val="20"/>
    </w:rPr>
  </w:style>
  <w:style w:type="character" w:styleId="WWCharLFO14LVL7">
    <w:name w:val="WW_CharLFO14LVL7"/>
    <w:qFormat/>
    <w:rPr>
      <w:rFonts w:ascii="Wingdings" w:hAnsi="Wingdings" w:cs="Wingdings"/>
      <w:sz w:val="20"/>
    </w:rPr>
  </w:style>
  <w:style w:type="character" w:styleId="WWCharLFO14LVL8">
    <w:name w:val="WW_CharLFO14LVL8"/>
    <w:qFormat/>
    <w:rPr>
      <w:rFonts w:ascii="Wingdings" w:hAnsi="Wingdings" w:cs="Wingdings"/>
      <w:sz w:val="20"/>
    </w:rPr>
  </w:style>
  <w:style w:type="character" w:styleId="WWCharLFO14LVL9">
    <w:name w:val="WW_CharLFO14LVL9"/>
    <w:qFormat/>
    <w:rPr>
      <w:rFonts w:ascii="Wingdings" w:hAnsi="Wingdings" w:cs="Wingdings"/>
      <w:sz w:val="20"/>
    </w:rPr>
  </w:style>
  <w:style w:type="character" w:styleId="WWCharLFO15LVL1">
    <w:name w:val="WW_CharLFO15LVL1"/>
    <w:qFormat/>
    <w:rPr>
      <w:rFonts w:ascii="Symbol" w:hAnsi="Symbol" w:cs="Symbol"/>
      <w:sz w:val="22"/>
    </w:rPr>
  </w:style>
  <w:style w:type="character" w:styleId="WWCharLFO15LVL2">
    <w:name w:val="WW_CharLFO15LVL2"/>
    <w:qFormat/>
    <w:rPr>
      <w:rFonts w:ascii="Courier New" w:hAnsi="Courier New" w:cs="Courier New"/>
      <w:sz w:val="20"/>
    </w:rPr>
  </w:style>
  <w:style w:type="character" w:styleId="WWCharLFO15LVL3">
    <w:name w:val="WW_CharLFO15LVL3"/>
    <w:qFormat/>
    <w:rPr>
      <w:rFonts w:ascii="Wingdings" w:hAnsi="Wingdings" w:cs="Wingdings"/>
      <w:sz w:val="20"/>
    </w:rPr>
  </w:style>
  <w:style w:type="character" w:styleId="WWCharLFO15LVL4">
    <w:name w:val="WW_CharLFO15LVL4"/>
    <w:qFormat/>
    <w:rPr>
      <w:rFonts w:ascii="Wingdings" w:hAnsi="Wingdings" w:cs="Wingdings"/>
      <w:sz w:val="20"/>
    </w:rPr>
  </w:style>
  <w:style w:type="character" w:styleId="WWCharLFO15LVL5">
    <w:name w:val="WW_CharLFO15LVL5"/>
    <w:qFormat/>
    <w:rPr>
      <w:rFonts w:ascii="Wingdings" w:hAnsi="Wingdings" w:cs="Wingdings"/>
      <w:sz w:val="20"/>
    </w:rPr>
  </w:style>
  <w:style w:type="character" w:styleId="WWCharLFO15LVL6">
    <w:name w:val="WW_CharLFO15LVL6"/>
    <w:qFormat/>
    <w:rPr>
      <w:rFonts w:ascii="Wingdings" w:hAnsi="Wingdings" w:cs="Wingdings"/>
      <w:sz w:val="20"/>
    </w:rPr>
  </w:style>
  <w:style w:type="character" w:styleId="WWCharLFO15LVL7">
    <w:name w:val="WW_CharLFO15LVL7"/>
    <w:qFormat/>
    <w:rPr>
      <w:rFonts w:ascii="Wingdings" w:hAnsi="Wingdings" w:cs="Wingdings"/>
      <w:sz w:val="20"/>
    </w:rPr>
  </w:style>
  <w:style w:type="character" w:styleId="WWCharLFO15LVL8">
    <w:name w:val="WW_CharLFO15LVL8"/>
    <w:qFormat/>
    <w:rPr>
      <w:rFonts w:ascii="Wingdings" w:hAnsi="Wingdings" w:cs="Wingdings"/>
      <w:sz w:val="20"/>
    </w:rPr>
  </w:style>
  <w:style w:type="character" w:styleId="WWCharLFO15LVL9">
    <w:name w:val="WW_CharLFO15LVL9"/>
    <w:qFormat/>
    <w:rPr>
      <w:rFonts w:ascii="Wingdings" w:hAnsi="Wingdings" w:cs="Wingdings"/>
      <w:sz w:val="20"/>
    </w:rPr>
  </w:style>
  <w:style w:type="character" w:styleId="WWCharLFO16LVL1">
    <w:name w:val="WW_CharLFO16LVL1"/>
    <w:qFormat/>
    <w:rPr>
      <w:rFonts w:ascii="Symbol" w:hAnsi="Symbol" w:cs="Symbol"/>
      <w:sz w:val="22"/>
    </w:rPr>
  </w:style>
  <w:style w:type="character" w:styleId="WWCharLFO16LVL2">
    <w:name w:val="WW_CharLFO16LVL2"/>
    <w:qFormat/>
    <w:rPr>
      <w:rFonts w:ascii="Courier New" w:hAnsi="Courier New" w:cs="Courier New"/>
      <w:sz w:val="20"/>
    </w:rPr>
  </w:style>
  <w:style w:type="character" w:styleId="WWCharLFO16LVL3">
    <w:name w:val="WW_CharLFO16LVL3"/>
    <w:qFormat/>
    <w:rPr>
      <w:rFonts w:ascii="Wingdings" w:hAnsi="Wingdings" w:cs="Wingdings"/>
      <w:sz w:val="20"/>
    </w:rPr>
  </w:style>
  <w:style w:type="character" w:styleId="WWCharLFO16LVL4">
    <w:name w:val="WW_CharLFO16LVL4"/>
    <w:qFormat/>
    <w:rPr>
      <w:rFonts w:ascii="Wingdings" w:hAnsi="Wingdings" w:cs="Wingdings"/>
      <w:sz w:val="20"/>
    </w:rPr>
  </w:style>
  <w:style w:type="character" w:styleId="WWCharLFO16LVL5">
    <w:name w:val="WW_CharLFO16LVL5"/>
    <w:qFormat/>
    <w:rPr>
      <w:rFonts w:ascii="Wingdings" w:hAnsi="Wingdings" w:cs="Wingdings"/>
      <w:sz w:val="20"/>
    </w:rPr>
  </w:style>
  <w:style w:type="character" w:styleId="WWCharLFO16LVL6">
    <w:name w:val="WW_CharLFO16LVL6"/>
    <w:qFormat/>
    <w:rPr>
      <w:rFonts w:ascii="Wingdings" w:hAnsi="Wingdings" w:cs="Wingdings"/>
      <w:sz w:val="20"/>
    </w:rPr>
  </w:style>
  <w:style w:type="character" w:styleId="WWCharLFO16LVL7">
    <w:name w:val="WW_CharLFO16LVL7"/>
    <w:qFormat/>
    <w:rPr>
      <w:rFonts w:ascii="Wingdings" w:hAnsi="Wingdings" w:cs="Wingdings"/>
      <w:sz w:val="20"/>
    </w:rPr>
  </w:style>
  <w:style w:type="character" w:styleId="WWCharLFO16LVL8">
    <w:name w:val="WW_CharLFO16LVL8"/>
    <w:qFormat/>
    <w:rPr>
      <w:rFonts w:ascii="Wingdings" w:hAnsi="Wingdings" w:cs="Wingdings"/>
      <w:sz w:val="20"/>
    </w:rPr>
  </w:style>
  <w:style w:type="character" w:styleId="WWCharLFO16LVL9">
    <w:name w:val="WW_CharLFO16LVL9"/>
    <w:qFormat/>
    <w:rPr>
      <w:rFonts w:ascii="Wingdings" w:hAnsi="Wingdings" w:cs="Wingdings"/>
      <w:sz w:val="20"/>
    </w:rPr>
  </w:style>
  <w:style w:type="character" w:styleId="WWCharLFO17LVL1">
    <w:name w:val="WW_CharLFO17LVL1"/>
    <w:qFormat/>
    <w:rPr>
      <w:rFonts w:ascii="Symbol" w:hAnsi="Symbol" w:cs="Symbol"/>
      <w:sz w:val="22"/>
    </w:rPr>
  </w:style>
  <w:style w:type="character" w:styleId="WWCharLFO17LVL2">
    <w:name w:val="WW_CharLFO17LVL2"/>
    <w:qFormat/>
    <w:rPr>
      <w:rFonts w:ascii="Courier New" w:hAnsi="Courier New" w:cs="Courier New"/>
      <w:sz w:val="20"/>
    </w:rPr>
  </w:style>
  <w:style w:type="character" w:styleId="WWCharLFO17LVL3">
    <w:name w:val="WW_CharLFO17LVL3"/>
    <w:qFormat/>
    <w:rPr>
      <w:rFonts w:ascii="Wingdings" w:hAnsi="Wingdings" w:cs="Wingdings"/>
      <w:sz w:val="20"/>
    </w:rPr>
  </w:style>
  <w:style w:type="character" w:styleId="WWCharLFO17LVL4">
    <w:name w:val="WW_CharLFO17LVL4"/>
    <w:qFormat/>
    <w:rPr>
      <w:rFonts w:ascii="Wingdings" w:hAnsi="Wingdings" w:cs="Wingdings"/>
      <w:sz w:val="20"/>
    </w:rPr>
  </w:style>
  <w:style w:type="character" w:styleId="WWCharLFO17LVL5">
    <w:name w:val="WW_CharLFO17LVL5"/>
    <w:qFormat/>
    <w:rPr>
      <w:rFonts w:ascii="Wingdings" w:hAnsi="Wingdings" w:cs="Wingdings"/>
      <w:sz w:val="20"/>
    </w:rPr>
  </w:style>
  <w:style w:type="character" w:styleId="WWCharLFO17LVL6">
    <w:name w:val="WW_CharLFO17LVL6"/>
    <w:qFormat/>
    <w:rPr>
      <w:rFonts w:ascii="Wingdings" w:hAnsi="Wingdings" w:cs="Wingdings"/>
      <w:sz w:val="20"/>
    </w:rPr>
  </w:style>
  <w:style w:type="character" w:styleId="WWCharLFO17LVL7">
    <w:name w:val="WW_CharLFO17LVL7"/>
    <w:qFormat/>
    <w:rPr>
      <w:rFonts w:ascii="Wingdings" w:hAnsi="Wingdings" w:cs="Wingdings"/>
      <w:sz w:val="20"/>
    </w:rPr>
  </w:style>
  <w:style w:type="character" w:styleId="WWCharLFO17LVL8">
    <w:name w:val="WW_CharLFO17LVL8"/>
    <w:qFormat/>
    <w:rPr>
      <w:rFonts w:ascii="Wingdings" w:hAnsi="Wingdings" w:cs="Wingdings"/>
      <w:sz w:val="20"/>
    </w:rPr>
  </w:style>
  <w:style w:type="character" w:styleId="WWCharLFO17LVL9">
    <w:name w:val="WW_CharLFO17LVL9"/>
    <w:qFormat/>
    <w:rPr>
      <w:rFonts w:ascii="Wingdings" w:hAnsi="Wingdings" w:cs="Wingdings"/>
      <w:sz w:val="20"/>
    </w:rPr>
  </w:style>
  <w:style w:type="paragraph" w:styleId="Titre">
    <w:name w:val="Titre"/>
    <w:basedOn w:val="Normal1"/>
    <w:next w:val="Corpsdetexte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1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Liste">
    <w:name w:val="List"/>
    <w:basedOn w:val="Corpsdetexte"/>
    <w:pPr>
      <w:suppressAutoHyphens w:val="true"/>
    </w:pPr>
    <w:rPr>
      <w:rFonts w:cs="Arial"/>
    </w:rPr>
  </w:style>
  <w:style w:type="paragraph" w:styleId="Lgende">
    <w:name w:val="Caption"/>
    <w:basedOn w:val="Normal1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  <w:suppressAutoHyphens w:val="true"/>
    </w:pPr>
    <w:rPr>
      <w:rFonts w:cs="Arial"/>
    </w:rPr>
  </w:style>
  <w:style w:type="paragraph" w:styleId="Sansinterligne">
    <w:name w:val="Sans interlign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Pieddepage1">
    <w:name w:val="Pied de page1"/>
    <w:basedOn w:val="Normal1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color w:val="auto"/>
    </w:rPr>
  </w:style>
  <w:style w:type="paragraph" w:styleId="TM21">
    <w:name w:val="TM 21"/>
    <w:basedOn w:val="Normal1"/>
    <w:next w:val="Normal1"/>
    <w:autoRedefine/>
    <w:qFormat/>
    <w:pPr>
      <w:tabs>
        <w:tab w:val="clear" w:pos="708"/>
        <w:tab w:val="left" w:pos="660" w:leader="none"/>
        <w:tab w:val="right" w:pos="9062" w:leader="dot"/>
      </w:tabs>
      <w:suppressAutoHyphens w:val="true"/>
      <w:ind w:left="220" w:right="0" w:hanging="0"/>
    </w:pPr>
    <w:rPr>
      <w:rFonts w:ascii="Times New Roman" w:hAnsi="Times New Roman"/>
      <w:b/>
      <w:sz w:val="24"/>
      <w:szCs w:val="24"/>
    </w:rPr>
  </w:style>
  <w:style w:type="paragraph" w:styleId="Entte1">
    <w:name w:val="En-tête1"/>
    <w:basedOn w:val="Normal1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aragraphedeliste">
    <w:name w:val="Paragraphe de liste"/>
    <w:basedOn w:val="Normal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mmentaire">
    <w:name w:val="Commentaire"/>
    <w:basedOn w:val="Normal1"/>
    <w:qFormat/>
    <w:pPr>
      <w:suppressAutoHyphens w:val="true"/>
      <w:spacing w:lineRule="auto" w:line="240"/>
    </w:pPr>
    <w:rPr>
      <w:color w:val="auto"/>
      <w:sz w:val="20"/>
      <w:szCs w:val="20"/>
    </w:rPr>
  </w:style>
  <w:style w:type="paragraph" w:styleId="Notedebasdepage">
    <w:name w:val="Footnote Text"/>
    <w:basedOn w:val="Normal1"/>
    <w:pPr>
      <w:suppressAutoHyphens w:val="true"/>
      <w:spacing w:lineRule="auto" w:line="240" w:before="0" w:after="0"/>
    </w:pPr>
    <w:rPr>
      <w:sz w:val="20"/>
      <w:szCs w:val="20"/>
    </w:rPr>
  </w:style>
  <w:style w:type="paragraph" w:styleId="Style11">
    <w:name w:val="Style1"/>
    <w:basedOn w:val="Sansinterligne"/>
    <w:qFormat/>
    <w:pPr>
      <w:suppressAutoHyphens w:val="true"/>
      <w:spacing w:before="144" w:after="60"/>
      <w:jc w:val="both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detabledesmatires">
    <w:name w:val="En-tête de table des matières"/>
    <w:basedOn w:val="Titre1"/>
    <w:next w:val="Normal1"/>
    <w:qFormat/>
    <w:pPr>
      <w:numPr>
        <w:ilvl w:val="0"/>
        <w:numId w:val="0"/>
      </w:numPr>
      <w:suppressAutoHyphens w:val="true"/>
      <w:spacing w:lineRule="auto" w:line="256"/>
      <w:outlineLvl w:val="0"/>
    </w:pPr>
    <w:rPr>
      <w:rFonts w:ascii="Calibri Light" w:hAnsi="Calibri Light"/>
      <w:b w:val="false"/>
      <w:color w:val="2E74B5"/>
      <w:sz w:val="32"/>
      <w:u w:val="none"/>
      <w:lang w:eastAsia="fr-FR"/>
    </w:rPr>
  </w:style>
  <w:style w:type="paragraph" w:styleId="TM1">
    <w:name w:val="TM 1"/>
    <w:basedOn w:val="Normal1"/>
    <w:next w:val="Normal1"/>
    <w:autoRedefine/>
    <w:qFormat/>
    <w:pPr>
      <w:suppressAutoHyphens w:val="true"/>
      <w:spacing w:before="0" w:after="100"/>
    </w:pPr>
    <w:rPr/>
  </w:style>
  <w:style w:type="paragraph" w:styleId="TM2">
    <w:name w:val="TM 2"/>
    <w:basedOn w:val="Normal1"/>
    <w:next w:val="Normal1"/>
    <w:autoRedefine/>
    <w:qFormat/>
    <w:pPr>
      <w:tabs>
        <w:tab w:val="clear" w:pos="708"/>
      </w:tabs>
      <w:suppressAutoHyphens w:val="true"/>
      <w:spacing w:before="0" w:after="100"/>
      <w:ind w:left="220" w:right="0" w:hanging="0"/>
    </w:pPr>
    <w:rPr/>
  </w:style>
  <w:style w:type="paragraph" w:styleId="TM3">
    <w:name w:val="TM 3"/>
    <w:basedOn w:val="Normal1"/>
    <w:next w:val="Normal1"/>
    <w:autoRedefine/>
    <w:qFormat/>
    <w:pPr>
      <w:tabs>
        <w:tab w:val="clear" w:pos="708"/>
      </w:tabs>
      <w:suppressAutoHyphens w:val="true"/>
      <w:spacing w:before="0" w:after="100"/>
      <w:ind w:left="440" w:right="0" w:hanging="0"/>
    </w:pPr>
    <w:rPr/>
  </w:style>
  <w:style w:type="paragraph" w:styleId="Objetducommentaire">
    <w:name w:val="Objet du commentaire"/>
    <w:basedOn w:val="Commentaire"/>
    <w:next w:val="Commentaire"/>
    <w:qFormat/>
    <w:pPr>
      <w:suppressAutoHyphens w:val="true"/>
    </w:pPr>
    <w:rPr>
      <w:rFonts w:ascii="Calibri" w:hAnsi="Calibri" w:eastAsia="Calibri"/>
      <w:b/>
      <w:bCs/>
      <w:color w:val="00000A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Arial" w:hAnsi="Arial" w:eastAsia="Times New Roman" w:cs="Arial"/>
      <w:color w:val="auto"/>
      <w:lang w:eastAsia="fr-FR"/>
    </w:rPr>
  </w:style>
  <w:style w:type="paragraph" w:styleId="Date1">
    <w:name w:val="Date 1"/>
    <w:basedOn w:val="Corpsdetexte"/>
    <w:next w:val="Corpsdetexte"/>
    <w:qFormat/>
    <w:pPr>
      <w:widowControl w:val="false"/>
      <w:suppressAutoHyphens w:val="true"/>
      <w:spacing w:lineRule="auto" w:line="276" w:before="0" w:after="0"/>
    </w:pPr>
    <w:rPr>
      <w:rFonts w:ascii="Arial" w:hAnsi="Arial" w:eastAsia="Arial"/>
      <w:color w:val="auto"/>
      <w:sz w:val="20"/>
      <w:szCs w:val="20"/>
    </w:rPr>
  </w:style>
  <w:style w:type="paragraph" w:styleId="Textedesaisie">
    <w:name w:val="Texte de saisie"/>
    <w:basedOn w:val="Normal1"/>
    <w:qFormat/>
    <w:pPr>
      <w:tabs>
        <w:tab w:val="clear" w:pos="708"/>
      </w:tabs>
      <w:suppressAutoHyphens w:val="true"/>
      <w:spacing w:lineRule="atLeast" w:line="260" w:before="0" w:after="0"/>
      <w:ind w:left="567" w:right="567" w:hanging="0"/>
      <w:jc w:val="both"/>
    </w:pPr>
    <w:rPr>
      <w:rFonts w:ascii="Arial" w:hAnsi="Arial" w:eastAsia="Marianne"/>
      <w:color w:val="auto"/>
      <w:sz w:val="20"/>
      <w:szCs w:val="20"/>
    </w:rPr>
  </w:style>
  <w:style w:type="paragraph" w:styleId="Entte">
    <w:name w:val="Head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oustitre2">
    <w:name w:val="Sous-titre 2"/>
    <w:basedOn w:val="Normal1"/>
    <w:next w:val="Corpsdetexte"/>
    <w:qFormat/>
    <w:pPr>
      <w:widowControl w:val="false"/>
      <w:suppressAutoHyphens w:val="true"/>
      <w:spacing w:lineRule="auto" w:line="240" w:before="0" w:after="0"/>
      <w:jc w:val="center"/>
    </w:pPr>
    <w:rPr>
      <w:rFonts w:ascii="Arial" w:hAnsi="Arial" w:eastAsia="Arial"/>
      <w:color w:val="auto"/>
      <w:sz w:val="16"/>
      <w:szCs w:val="16"/>
    </w:rPr>
  </w:style>
  <w:style w:type="paragraph" w:styleId="Date2">
    <w:name w:val="Date 2"/>
    <w:basedOn w:val="Normal1"/>
    <w:next w:val="Corpsdetexte"/>
    <w:qFormat/>
    <w:pPr>
      <w:widowControl w:val="false"/>
      <w:suppressAutoHyphens w:val="true"/>
      <w:spacing w:lineRule="auto" w:line="240" w:before="139" w:after="0"/>
      <w:jc w:val="right"/>
    </w:pPr>
    <w:rPr>
      <w:rFonts w:ascii="Arial" w:hAnsi="Arial" w:eastAsia="Arial"/>
      <w:color w:val="231F20"/>
      <w:sz w:val="16"/>
      <w:szCs w:val="20"/>
    </w:rPr>
  </w:style>
  <w:style w:type="paragraph" w:styleId="Intituldeladirection">
    <w:name w:val="Intitulé de la direction"/>
    <w:basedOn w:val="Normal1"/>
    <w:qFormat/>
    <w:pPr>
      <w:suppressAutoHyphens w:val="true"/>
      <w:spacing w:lineRule="atLeast" w:line="336" w:before="0" w:after="0"/>
      <w:jc w:val="right"/>
    </w:pPr>
    <w:rPr>
      <w:rFonts w:ascii="Marianne" w:hAnsi="Marianne" w:eastAsia="Marianne"/>
      <w:b/>
      <w:color w:val="auto"/>
      <w:sz w:val="28"/>
      <w:szCs w:val="20"/>
    </w:rPr>
  </w:style>
  <w:style w:type="paragraph" w:styleId="NormalWeb">
    <w:name w:val="Normal (Web)"/>
    <w:basedOn w:val="Normal1"/>
    <w:qFormat/>
    <w:pPr>
      <w:suppressAutoHyphens w:val="true"/>
      <w:spacing w:lineRule="auto" w:line="288" w:before="0" w:after="142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Sdfootnote">
    <w:name w:val="sdfootnote"/>
    <w:basedOn w:val="Normal1"/>
    <w:qFormat/>
    <w:pPr>
      <w:tabs>
        <w:tab w:val="clear" w:pos="708"/>
      </w:tabs>
      <w:suppressAutoHyphens w:val="true"/>
      <w:spacing w:lineRule="auto" w:line="240" w:before="0" w:after="0"/>
      <w:ind w:left="340" w:right="0" w:hanging="340"/>
    </w:pPr>
    <w:rPr>
      <w:rFonts w:ascii="Times New Roman" w:hAnsi="Times New Roman" w:eastAsia="Times New Roman"/>
      <w:color w:val="auto"/>
      <w:sz w:val="20"/>
      <w:szCs w:val="20"/>
      <w:lang w:eastAsia="fr-FR"/>
    </w:rPr>
  </w:style>
  <w:style w:type="paragraph" w:styleId="Contenudecadre">
    <w:name w:val="Contenu de cadre"/>
    <w:basedOn w:val="Normal1"/>
    <w:qFormat/>
    <w:pPr>
      <w:suppressAutoHyphens w:val="true"/>
    </w:pPr>
    <w:rPr/>
  </w:style>
  <w:style w:type="paragraph" w:styleId="SNNature">
    <w:name w:val="SNNature"/>
    <w:basedOn w:val="Normal1"/>
    <w:next w:val="Normal1"/>
    <w:qFormat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Lucida Sans Unicode"/>
      <w:b/>
      <w:bCs/>
      <w:color w:val="auto"/>
      <w:sz w:val="24"/>
      <w:szCs w:val="24"/>
      <w:lang w:eastAsia="zh-CN"/>
    </w:rPr>
  </w:style>
  <w:style w:type="paragraph" w:styleId="SNNORCentr">
    <w:name w:val="SNNOR+Centré"/>
    <w:next w:val="SNAutori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480"/>
      <w:jc w:val="center"/>
    </w:pPr>
    <w:rPr>
      <w:rFonts w:ascii="Times New Roman" w:hAnsi="Times New Roman"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eastAsia="zh-CN" w:val="fr-FR" w:bidi="ar-SA"/>
    </w:rPr>
  </w:style>
  <w:style w:type="paragraph" w:styleId="SNAutorit">
    <w:name w:val="SNAutorité"/>
    <w:basedOn w:val="Normal1"/>
    <w:qFormat/>
    <w:pPr>
      <w:suppressAutoHyphens w:val="true"/>
      <w:spacing w:lineRule="auto" w:line="240" w:before="720" w:after="240"/>
      <w:ind w:left="0" w:right="0" w:firstLine="720"/>
    </w:pPr>
    <w:rPr>
      <w:rFonts w:ascii="Times New Roman" w:hAnsi="Times New Roman" w:eastAsia="Times New Roman"/>
      <w:b/>
      <w:color w:val="auto"/>
      <w:sz w:val="24"/>
      <w:szCs w:val="24"/>
      <w:lang w:eastAsia="zh-CN"/>
    </w:rPr>
  </w:style>
  <w:style w:type="paragraph" w:styleId="SNTimbre">
    <w:name w:val="SNTimbre"/>
    <w:basedOn w:val="Normal1"/>
    <w:qFormat/>
    <w:pPr>
      <w:widowControl w:val="false"/>
      <w:suppressAutoHyphens w:val="true"/>
      <w:snapToGrid w:val="false"/>
      <w:spacing w:lineRule="auto" w:line="240" w:before="120" w:after="0"/>
      <w:jc w:val="center"/>
    </w:pPr>
    <w:rPr>
      <w:rFonts w:ascii="Times New Roman" w:hAnsi="Times New Roman" w:eastAsia="Lucida Sans Unicode"/>
      <w:color w:val="auto"/>
      <w:sz w:val="24"/>
      <w:szCs w:val="24"/>
      <w:lang w:eastAsia="zh-CN"/>
    </w:rPr>
  </w:style>
  <w:style w:type="paragraph" w:styleId="SNIntitul">
    <w:name w:val="SNIntitulé"/>
    <w:basedOn w:val="Normal1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color w:val="auto"/>
      <w:sz w:val="24"/>
      <w:szCs w:val="24"/>
      <w:lang w:eastAsia="zh-CN"/>
    </w:rPr>
  </w:style>
  <w:style w:type="paragraph" w:styleId="SNRfrence">
    <w:name w:val="SNRéférence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Times New Roman"/>
      <w:color w:val="auto"/>
      <w:sz w:val="24"/>
      <w:szCs w:val="24"/>
      <w:lang w:eastAsia="zh-CN"/>
    </w:rPr>
  </w:style>
  <w:style w:type="paragraph" w:styleId="SNRpublique">
    <w:name w:val="SNRépublique"/>
    <w:basedOn w:val="Normal1"/>
    <w:qFormat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/>
      <w:b/>
      <w:bCs/>
      <w:color w:val="auto"/>
      <w:sz w:val="24"/>
      <w:szCs w:val="24"/>
      <w:lang w:eastAsia="zh-CN"/>
    </w:rPr>
  </w:style>
  <w:style w:type="paragraph" w:styleId="SNExcution">
    <w:name w:val="SNExécution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SimSun"/>
      <w:color w:val="auto"/>
      <w:sz w:val="24"/>
      <w:szCs w:val="24"/>
      <w:lang w:eastAsia="zh-CN"/>
    </w:rPr>
  </w:style>
  <w:style w:type="paragraph" w:styleId="SNListeDomaines">
    <w:name w:val="SNListeDomaines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SimSun" w:cs="Arial"/>
      <w:iCs/>
      <w:color w:val="auto"/>
      <w:sz w:val="24"/>
      <w:szCs w:val="24"/>
      <w:lang w:eastAsia="zh-CN"/>
    </w:rPr>
  </w:style>
  <w:style w:type="paragraph" w:styleId="SNMotsClsLibres">
    <w:name w:val="SNMotsClésLibres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SimSun" w:cs="Arial"/>
      <w:iCs/>
      <w:color w:val="auto"/>
      <w:sz w:val="24"/>
      <w:szCs w:val="24"/>
      <w:lang w:eastAsia="zh-CN"/>
    </w:rPr>
  </w:style>
  <w:style w:type="paragraph" w:styleId="SNCirculaireAbroge">
    <w:name w:val="SNCirculaireAbrogée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SimSun" w:cs="Arial"/>
      <w:iCs/>
      <w:color w:val="auto"/>
      <w:sz w:val="24"/>
      <w:szCs w:val="24"/>
      <w:lang w:eastAsia="zh-CN"/>
    </w:rPr>
  </w:style>
  <w:style w:type="paragraph" w:styleId="SNPiceAnnexe">
    <w:name w:val="SNPièceAnnexe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SimSun" w:cs="Arial"/>
      <w:iCs/>
      <w:color w:val="auto"/>
      <w:sz w:val="24"/>
      <w:szCs w:val="24"/>
      <w:lang w:eastAsia="zh-CN"/>
    </w:rPr>
  </w:style>
  <w:style w:type="paragraph" w:styleId="SNInformation">
    <w:name w:val="SNInformation"/>
    <w:basedOn w:val="SNExcution"/>
    <w:qFormat/>
    <w:pPr>
      <w:suppressAutoHyphens w:val="true"/>
    </w:pPr>
    <w:rPr/>
  </w:style>
  <w:style w:type="paragraph" w:styleId="SNMotsclsferm">
    <w:name w:val="SNMotsclésfermé"/>
    <w:basedOn w:val="SNMotsClsLibres"/>
    <w:qFormat/>
    <w:pPr>
      <w:suppressAutoHyphens w:val="true"/>
    </w:pPr>
    <w:rPr/>
  </w:style>
  <w:style w:type="paragraph" w:styleId="SNDateapplication">
    <w:name w:val="SNDateapplication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Times New Roman"/>
      <w:color w:val="auto"/>
      <w:sz w:val="24"/>
      <w:szCs w:val="24"/>
      <w:lang w:eastAsia="zh-CN"/>
    </w:rPr>
  </w:style>
  <w:style w:type="paragraph" w:styleId="SNCerfa">
    <w:name w:val="SNCerfa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Times New Roman"/>
      <w:color w:val="auto"/>
      <w:sz w:val="24"/>
      <w:szCs w:val="24"/>
      <w:lang w:eastAsia="zh-CN"/>
    </w:rPr>
  </w:style>
  <w:style w:type="paragraph" w:styleId="SNRsum">
    <w:name w:val="SNRésumé"/>
    <w:basedOn w:val="Normal1"/>
    <w:qFormat/>
    <w:pPr>
      <w:suppressAutoHyphens w:val="true"/>
      <w:spacing w:lineRule="auto" w:line="240" w:before="0" w:after="0"/>
    </w:pPr>
    <w:rPr>
      <w:rFonts w:ascii="Times New Roman" w:hAnsi="Times New Roman" w:eastAsia="SimSun"/>
      <w:color w:val="auto"/>
      <w:sz w:val="24"/>
      <w:szCs w:val="24"/>
      <w:lang w:eastAsia="zh-CN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4</Pages>
  <Words>278</Words>
  <Characters>1564</Characters>
  <CharactersWithSpaces>1876</CharactersWithSpaces>
  <Paragraphs>149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2023-12-05T10:19:35Z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